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№10158 (Мурманск) от 27 марта 2018
</w:t>
      </w:r>
    </w:p>
    <w:p>
      <w:pPr/>
      <w:r>
        <w:rPr/>
        <w:t xml:space="preserve">Правильное описание: КУЛЬТУРНО-ОБРАЗОВАТЕЛЬНОЕ ПРОСТРАНСТВО КАК УСЛОВИЕ РАЗВИТИЯ РЕБЕНКА
Материалы региональной научно-практической конференции / Под научной редакцией М.В. Артюхова, Т.С. Шахматовой, Л.Г. Какчан. Новокузнецк : Муниципальное образовательное учреждение Институт повышения квалификации, 2004. 315 с.
Здравствуйте, Анастасия. Предлагаем Вам библиографическое описание:
Культурно-образовательное пространство как условие развития ребенка [Текст] : материалы регион. науч.-практ. конф. / под науч. ред. М. В. Артюхова, Т. С. Шахматовой, Л. Г. Какчан. - Новокузнецк : Муницип. образоват. учреждение Ин-т повышения квалификации, 2004. - 315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2026-11-04T21:16:19+03:00</dcterms:created>
  <dcterms:modified xsi:type="dcterms:W3CDTF">2026-11-04T21:16:19+03:00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