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№10160 (Мурманск) от 27 марта 2018
</w:t>
      </w:r>
    </w:p>
    <w:p>
      <w:pPr/>
      <w:r>
        <w:rPr/>
        <w:t xml:space="preserve">Правильное описание: СОВРЕМЕННЫЙ РЕБЕНОК И ОБРАЗОВАТЕЛЬНОЕ ПРОСТРАНСТВО: ПРОБЛЕМЫ И ПУТИ РЕАЛИЗАЦИИ
всероссийская научно-практическая конференция : сборник докладов : в 2 ч./ Федеральное агентство по образованию, Кузбасская гос. пед. акад., Фак. дошкольной педагогики и психологии ; [редкол.: Н. Е. Разенкова, Л. Д. Балакай]. Новокузнецк : Кузбасская гос. пед. акад., 2008.
Здравствуйте, Анастасия. Предлагаем Вам библиографическое описание:
Современный ребенок и образовательное пространство: проблемы и пути реализации [Текст] : всерос. науч.-практ. конф. : сб. докл. : в 2 ч. / Федер. агентство по образованию, Кузбас. гос. пед. акад. ; [редкол.: Н. Е. Разенкова, Л. Д. Балакай]. - Новокузнецк : Кузбас. гос. пед. акад., 2008. – 2 ч.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2026-11-04T21:18:03+03:00</dcterms:created>
  <dcterms:modified xsi:type="dcterms:W3CDTF">2026-11-04T21:18:03+03:00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