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№10183 (Мурманск) от 30 марта 2018
</w:t>
      </w:r>
    </w:p>
    <w:p>
      <w:pPr/>
      <w:r>
        <w:rPr/>
        <w:t xml:space="preserve">Правильное описание?  
ФОРМИРОВАНИЕ ИНФОРМАЦИОННООБРАЗОВАТЕЛЬНОЙ СРЕДЫ ДОУ КАК ОДНО ИЗ УСЛОВИЙ РЕАЛИЗАЦИИ ОСНОВНОЙ ОБЩЕОБРАЗОВАТЕЛЬНОЙ ПРОГРАММЫ ДОШКОЛЬНОГО ОБРАЗОВАНИЯ
Шаврина Н.А.
Воспитание и обучение детей младшего возраста. 2013. № 1. С. 56.
Здравствуйте, Анастасия. Предлагаем Вам библиографическое описание:
Шаврина, Н. А. Формирование информационнообразовательной среды ДОУ как одно из условий реализации основной общеобразовательной программы дошкольного образования [Текст] / Шаврина Н. А. // Воспитание и обучение детей мл. возраста. - 2013. - № 1. - С. 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2026-11-04T21:04:23+03:00</dcterms:created>
  <dcterms:modified xsi:type="dcterms:W3CDTF">2026-11-04T21:04:23+03:00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