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№10601 (Мурманская область) от 13 сентября 2018
</w:t>
      </w:r>
    </w:p>
    <w:p>
      <w:pPr/>
      <w:r>
        <w:rPr/>
        <w:t xml:space="preserve">Помогите со списком литературы по газетной журналистике с 2000 года из вашего фонда. Спасибо!
Здравствуйте, Светлана!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76.125.1(2Рос-4Мур)кр; Г70 Городская газета организует информационную кампанию на принципах гражданской журналистики / Мурм. ассоц. журналисток ; [под ред. Н. В. Хлебниковой ; сост. Е. В. Дубинина]. – Мурманск : Милори, 2008. – 167 с. (1670096 - ХР ; 1670097 - ХР ; 1704836 - ХР ; 1704837 - ХР)
37.892я73; П58 Попов, В. В. Производство и оформление газеты / В. В. Попов, С. М. Гуревич. – Москва : Высш. шк., 1977. – 246 с. (938492 - ХР)
76.125я73; Т43 Типология периодической печати / М. Е. Аникина [и др.] ; под ред. М. В. Шкондина, Л. Л. Реснянской. – Москва : Аспект Пресс, 2009. – 234 с. (1695803 - ЦСС)
76.023; Щ40 Щекочихин, Ю. П. Три эпохи российской журналистики / Ю. П. Щекочихин. – Москва : Фак. журналистики МГУ ; Изд-во Моск. ун-та, 2010. – 371 с. (1713231 - ХР ; 1713232 - АБ)
Статьи
Закусилова, М. Немота напрокат / М. Закусилова // Журналист. – 2008. – № 4. – С. 87.
Николаева, А. Н. Речевые жанры как новый формат текстовой журналистики / А. Н. Николаева // Вестник Московского университета. Сер. 10, Журналистика. – 2010. – № 6. – С. 30-35.
Нестерова, Т. Мама мыла раму / Т. Нестерова // Журналист. – 2006. – № 8. – С. 38-39.
Нестерова, Т. Ржунимагу: теперь уже так пишут / Т. Нестерова // Журналист. – 2006. – № 9. – С. 43-44.
Тартынских, В. В. О языке средств массовой информации / В. В. Тартынских // Русская словесность. – 2013. – № 2. – С. 70-74.
Цуй, Ю. Слова-универбаты на газетной полосе / Ю. Цуй // Русский язык в школе. – 2007. – № 7. – С. 75-80.
С уважением, главный библиотекарь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