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№11257 (Мурманская область) от 18 апреля 2019
</w:t>
      </w:r>
    </w:p>
    <w:p>
      <w:pPr/>
      <w:r>
        <w:rPr/>
        <w:t xml:space="preserve">Здравствуйте! Отредактируйте, пожалуйста, для учебы: Стратегия государственной культурной политики до 2030 года : утверждена распоряжением Правительства Российской Федерации от 29 февраля 2016 г. № 326-р. Официальный интернет-портал правовой информации(www.pravo.gov.ru) от 04.03.2016. Спасибо!
Здравствуйте, Екатерина. Предлагаем Вам библиографическое описание:
Стратегия государственной культурной политики до 2030 года [Электронный ресурс] : распоряжение Правительства Рос. Федерации от 29 февр. 2016 г. № 326-р // Официальный интернет-портал правовой информации : гос. система правовой информ. – Электрон. дан. - [Москва], 2016. – Режим доступа: http://www.pravo.gov.ru/, свободный (17.04.2019).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2026-11-01T05:57:02+03:00</dcterms:created>
  <dcterms:modified xsi:type="dcterms:W3CDTF">2026-11-01T05:57:02+03:00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