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№11450 (Мурманск) от 12 сентября 2019
</w:t>
      </w:r>
    </w:p>
    <w:p>
      <w:pPr/>
      <w:r>
        <w:rPr/>
        <w:t xml:space="preserve">Итоги процесса централизации при Иване III и Василии III
Здравствуйте. Предлагаем Вам библиографический список:
Книги
63.3(2)43ю1; Г72 Государи всея Руси: Иван III, Василий III. Первые публикации иностранцев о Российском государстве / [ред.-сост. Чертопруд С. В.]. – Москва : Алгоритм, 2017. – 302 с. (1778025 – АБ)
63.3(2)43; С17 Самодержцы московские : Иван III, Василий III : [сборник / ред.-сост. Д. А. Чудинов]. – Москва : АСТ, Жанровая лит., 2016. – 285 c. : ил., цв. ил., портр., факс. (1775239 - АБ)
Статьи
Горолевич, И. Е. Сеча на водах Оки у Калуги: об уникальной военной операции, осуществленной в 1512 году жителями Калуги против крымских татар / И. Е. Горолевич// Московский журнал. История государства Российского. - 2011. - № 11. - С. 73-77.
Корзинина, А. Л. Изучение Государева двора Русского государства XVI столетия в отечественной историографии / А. Л. Корзинина // Вестник Санкт-Петербургского университета. Серия 2, История. - 2013. - Вып. 4. - С. 14-25.
Нефедов, С. А. Реформы Ивана III и Ивана IV: османское влияние / С. А. Нефедов // Вопросы истории. - 2002. - № 11. - С. 30-53.
Электронные ресурсы (с текстами документов можно поработать в зале электронных ресурсов на 3-м этаже библиотеки)
Галиуллина, Э. Р. Правовой статус и полномочия судебного пристава в период формирования русского централизованного государства в XV - XVI вв. (Судебник Ивана III) [Электронный ресурс] / Галиуллина Э. Р., Ефремов А. В. // Актуальные проблемы юриспруденции в современной России : сб. ст. по материалам V Всерос. науч.-практ. конф., под ред. Н. В. Иванцовой, Н. М. Швецова. - 2015. - С. 105-109. - Режим доступа: http://elibrary.ru, регламентир. (14.09.2019).
Фатхутдинов, Р. Р. Иван III и характер русского государства [Электронный ресурс] / Фатхутдинов Р. Р. // Colloquium-journal. - 2017. - № 9, ч. 1. - С. 7-8.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