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№11592 (Мурманск) от 30 октября 2019
</w:t>
      </w:r>
    </w:p>
    <w:p>
      <w:pPr/>
      <w:r>
        <w:rPr/>
        <w:t xml:space="preserve">Уважаемые библиографы, добрый день! Есть ли свободный доступ к работе Бубенцовой А.В. Культурное наследие Кольского Заполярья в современном образовании школьников: межпредметный анализ (2013)
Здравствуйте. Интересующая Вас публикация находится в следующей монографии:
71.41(2Рос-4Мур); К90 Культурные индустрии Кольского Севера: пролегомены к исследованию : коллективная монография / [Бубенцова А. В., Вагинова Л. С., Лобанова Ю. В. и др.]. - Санкт-Петербург : Изд-во РГПУ, 2012. - 178 с. : ил. – Из содерж.: Культурное наследие Кольского Заполярья в современном образовании школьников / А. В. Бубенцова. – С. 164-172. (1723650 -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2026-09-26T10:34:34+03:00</dcterms:created>
  <dcterms:modified xsi:type="dcterms:W3CDTF">2026-09-26T10:34:34+03:00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