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№12442 (Липецкая область) от 22 декабря 2020
</w:t>
      </w:r>
    </w:p>
    <w:p>
      <w:pPr/>
      <w:r>
        <w:rPr/>
        <w:t xml:space="preserve">Добрый день! просьба подобрать научную литературу современных зарубежных авторов, которые занимаются вопросами орхидэпипидэктомии.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Associations between increased body condition score, bodyweight, age and breed with urethral obstruction in male castrated cats / A. Jukesa,*, M. Luia,J.M. Mortonb, R. Marshalla, N. Yeowa // The Veterinary Journal. – 2019. – 244. – P. 7–12.
Effects of castration and testosterone on Fel d I production by sebaceous glands of male cats: II morphometric assessment / C. Charpin, T. M. Zielonka*, D. Charpin*, J.-L. Ansaldi // Clinical and Experimental Allergy. – 1993. – Vol. 24. – P. 1174-1178.
Slingsby, L. S. Use of a new finger-mounted device to compare mechanical nociceptive thresholds in cats given ethidine or no medication after castration / L. S. Slingsby*, A. Jones, A. E. Waterman-Pearson // Research in Veterinary Science. – 2001. – Vol. 70. – P. 243–246.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2026-11-04T10:30:30+03:00</dcterms:created>
  <dcterms:modified xsi:type="dcterms:W3CDTF">2026-11-04T10:30:30+03:00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