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№12681 (Мурманская область) от 30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Как правильно оформить федеральные законы, которые были опубликованы в «Российской газете» и  «Собрании законодательства Российской Федерации»? Заранее спасибо.
Здравствуйте. Предлагаем Вам схему аналитического библиографического описания из ГОСТ 7.1–2003 «Библиографическая запись. Библиографическое описание. Общие требования и правила составления»:
Сведения о составной части документа // Сведения об идентифицирующем документе. —  Сведения о местоположении составной части в документе. — Примечания.
В п. 7.5.2. ГОСТ 7.1–2003 «Библиографическая запись. Библиографическое описание. Общие требования и правила составления» прописано:
Если составная часть помещена в номере или выпуске сериального документа, то области и элементы идентифицирующего документа приводят по 6.3, за исключением следующих элементов описания, для которых определена особая последовательность: дата издания (распространения); обозначение тома, выпуска, номера и его порядковый номер (для журналов); число и месяц (для газет и других документов, выходящих не реже, чем один раз в неделю); частное заглавие тома, выпуска, номера (элемент факультативный, может быть опущен); страницы, на которых помещена составная часть (кроме газет объемом 8 и менее страниц).
Например:
Об образовании в Российской Федерации [Текст] : федер. закон : [принят Гос. Думой 21 дек. 2012 г. : одобрен Советом Федерации 26 дек. 2012 г.] // Рос. газ. – 2012. – 31 дек. – С. 2–10.
Об образовании в Российской Федерации [Текст] : федер. закон : [принят Гос. Думой 21 дек. 2012 г. : одобрен Советом Федерации 26 дек. 2012 г.] // Собр. законодательства Рос. Федерации. – 2012. – № 53, ч. 1. – Ст. 7598.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