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№12696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закона и кодексов РФ   Гражданский кодекс РФ [с комментариями]. URL: http://www.gk-rf.ru/statia458 (дата обращения 22.11.2020) и Российская Федерация. Конституция РФ : [принята всенародным голосованием 12 декабря 1993 г. (с учетом поправок)] // Собр. законодательства РФ. – 2014. – № 31. – Ст. 4398 
Заранее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материалов, открывающихся по предоставленному Вами URL-адресу, в соответствии с ГОСТ Р 7.0.5–2008 «Библиографическая ссылка. Общие требования и правила составления»:
Статья 458. Момент исполнения обязанности продавца передать товар // Гражданский Кодекс РФ : [сайт]. – 2021. – URL: http://www.gk-rf.ru/statia458 (дата обращения: 09.04.2021).
Комментарий к статье 458 Гражданского Кодекса РФ // Гражданский Кодекс РФ : [сайт]. – 2021. – URL: http://www.gk-rf.ru/statia458 (дата обращения: 09.04.2021).
Ответ на 2-й вопрос см. в архиве выполненных справок «Виртуального библиографа» под № 12699.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