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№12735 (Мурманская область) от 14 апреля 2021
</w:t>
      </w:r>
    </w:p>
    <w:p>
      <w:pPr/>
      <w:r>
        <w:rPr/>
        <w:t xml:space="preserve">Здравствуйте, уважаемые библиографы, подскажите пожалуйста как правильно оформить по гост 7052008 Преступность по данным Росстат [Электрон. ресурс] // Статитстика и Показатели. – URL: https://rosinfostat.ru/prestupnost/, свободный. – Загл. с экрана. – (Дата обращения 13.11.2020).
и Состояние преступности в России [Электрон. ресурс] // Генеральная прокуратура РФ. – URL: https://genproc.gov.ru/upload/iblock/034/sbornik_12_2019.pdf, свободный. – Загл. с экрана. – (Дата обращения 13.11.2020).
Здравствуйте.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библиографическое описание первого документа в соответствии с ГОСТ Р 7.0.5-2008:
Преступность по данным Росстат // Статитстика и показатели : региональные и федеральные : [сайт]. – 2021. – URL: https://rosinfostat.ru/prestupnost/ (дата обращения: 13.11.2020).
Ответ на 2-й вопрос см. в архиве выполненных справок «Виртуального библиографа» под № 12747.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2026-11-04T09:07:22+03:00</dcterms:created>
  <dcterms:modified xsi:type="dcterms:W3CDTF">2026-11-04T09:07:22+03:00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