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№12813 (Мурманск) от 12 мая 2021
</w:t>
      </w:r>
    </w:p>
    <w:p>
      <w:pPr/>
      <w:r>
        <w:rPr/>
        <w:t xml:space="preserve">Добрый день. Помогите, пожалуйста, подобрать литературу из электронных библиотек по теме "Правовой статус города Мурманска как регионального центра". Спасибо.
Здравствуйте. Предлагаем Вам библиографический список.
Электронные ресурсы
О статусе административного центра Мурманской области города-героя Мурманска : закон Мурманской области от 11.02.2000 года № 181-01-ЗМО (редакция от 08.10.2007, 12.11.2012, 07.11.2013, 19.12.2014, 07.07.2020, 04.12.2020) // КонсультантПплюс. – [Москва, 2019]. – Режим доступа: СПС КонсультантПлюс, по подписке.
О статусе муниципального образования город-герой Мурманск : закон Мурманской области от 02.12.2004 года № 531-01-ЗМО  (редедакция от 04.12.2020) // КонсультантПплюс. – [Москва, 2019]. – Режим доступа: СПС КонсультантПлюс, по подписке.
 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2026-11-04T08:52:41+03:00</dcterms:created>
  <dcterms:modified xsi:type="dcterms:W3CDTF">2026-11-04T08:52:41+03:00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