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№12928 (Санкт-Петербург) от 17 июня 2021
</w:t>
      </w:r>
    </w:p>
    <w:p>
      <w:pPr/>
      <w:r>
        <w:rPr/>
        <w:t xml:space="preserve">Здравствуйте. Отредактируйте, пожалуйста: Jitmaneeroj B. Does investor sentiment affect price-earnings ratios? //Studies in Economics and Finance. – 2017.
Здравствуйте. Предлагаем Вам библиографическое описание:
Jitmaneeroj, B. Does investor sentiment affect price-earnings ratios? / В. Jitmaneeroj // Studies in Economics and Finance. – 2017. – Vol. 34, № 2. – Р. 183-193.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