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№13224 (Мурманск) от 18 января 2022
</w:t>
      </w:r>
    </w:p>
    <w:p>
      <w:pPr/>
      <w:r>
        <w:rPr/>
        <w:t xml:space="preserve">Помогите, пожалуста, подобрать литературу по теме: "Формирование читательской компетенции у детей дошкольного возраста с ОВЗ".Спасибо.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Забродина, Н. А. Стратегия преодоления и формирования навыка читательской компетенции у детей с тяжелыми нарушениями речи / Забродина Н. А. // Изучение и образование детей с различными формами дизонтогенеза : материалы всероссийской научно-практической конференции, Екатеринбург, 21 апреля 2016 года. – Екатеринбург, 2016. - С. 121-124. – URL: https://www.elibrary.ru/item.asp?id=32486653 (дата обращения: 19.01.2022). – Режим доступа: научная электронная библиотека eLIBRARY.RU, после регистрации.
Катрич, В. С. Формирование основ читательского развития ребенка-дошкольника в норме и при речевых нарушениях / Катрич В. С. // Апробация. - 2015. - № 1 (28). - С. 63-65. – URL: https://www.elibrary.ru/item.asp?id=23217091 (дата обращения: 19.01.2022). – Режим доступа: научная электронная библиотека eLIBRARY.RU, после регистрации.
Майорова, Ю. А. Формирование читательского опыта как одно из условий успешного становления читательской компетенции у детей с ОВЗ / Майорова Ю. А. // Специальное образование : материалы XIII международной научно-практической конференции, Санкт-Петербург, 26–27 апреля 2017 года. – Санкт-Петербург, 2017. - С. 121-124. – URL: https://www.elibrary.ru/item.asp?id=29234207 (дата обращения: 19.01.2022).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Сыченко, О. Г. Формирование навыка читательской компетенции у младших школьников с тяжелыми нарушениями речи / Сыченко О. Г., Донец Л. П., Выродова И. Г. // Развитие личности и общества: экономические, политико-правовые и культурные аспекты : сборник научных трудов по материалам Международной научно-практической конференции, Белгород, 28 декабря 2021 года. - Белгород, 2021. - С. 99-101.
Шашкина, Г. Р. Формирование интереса к овладению чтением у детей с речевыми нарушениями / Шашкина Г. Р. // PROчтение: дислексия в XXI веке : сборник материалов IХ Международной научно-практической конференции, Москва, 10 сентября 2020 года. – Москва, 2020. - С. 218-222.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2026-11-04T06:48:22+03:00</dcterms:created>
  <dcterms:modified xsi:type="dcterms:W3CDTF">2026-11-04T06:48:22+03:00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