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№13553 (Мурманская область) от 22 мая 2022
</w:t>
      </w:r>
    </w:p>
    <w:p>
      <w:pPr/>
      <w:r>
        <w:rPr/>
        <w:t xml:space="preserve">Здравствуйте, просьба выполнить описание ссылки по ГОСТ: 
http://www.cbr.ru/collection/collection/file/31945/review_03022021.pdf  Годовой отчет Банка России за 2021 год Утвержден Советом директоров Банка России 08.04.2022.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документа, который открывается по указанной Вами ссылке:
Анализ динамики долговой нагрузки населения России в II–III кварталах 2020 года на основе данных бюро кредитных историй : информ.-аналит. материал / Центр. банк Рос. Федерации. Москва, 2021. 22 с. URL: http://www.cbr.ru/collection/collection/file/31945/review_03022021.pdf (дата обращения: 23.05.2022).
Ссылку на «Годовой отчет…» см. в архиве выполненных справок «Виртуального библиографа» под № 13554.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2026-11-04T05:00:18+03:00</dcterms:created>
  <dcterms:modified xsi:type="dcterms:W3CDTF">2026-11-04T05:00:18+03:00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