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№13586 (Мурманск) от 26 мая 2022
</w:t>
      </w:r>
    </w:p>
    <w:p>
      <w:pPr/>
      <w:r>
        <w:rPr/>
        <w:t xml:space="preserve">Просьбу сделать описание ссылки по Госту 2008 
Томсинов, В.А. Судебники 1497 и 1550 годов как памятники юриспруденции Московского государства/ В.А. Томсинов // Проблемы истории государства и права. – 2009. – С. 259 – 267.
Здравствуйте. Предлагаем Вам описание библиографической ссылки:
Томсинов В. А. Судебники 1497 и 1550 годов как памятники юриспруденции Московского государства // Проблемы истории государства и права : сб. науч. трудов. - Москва, 2009. – С. 259–267.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2026-11-04T04:50:43+03:00</dcterms:created>
  <dcterms:modified xsi:type="dcterms:W3CDTF">2026-11-04T04:50:43+03:00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