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№14125 (Мурманск) от 1 марта 2023
</w:t>
      </w:r>
    </w:p>
    <w:p>
      <w:pPr/>
      <w:r>
        <w:rPr/>
        <w:t xml:space="preserve">здравствуйте! Я пишу исследовательскую работу на тему "почерк медработников и студентов медицинских направлений" . Хотела бы получить материал (литературу). Заранее спасибо.
Здравствуйте. Предлагаем Вам библиографический список:
Статья
Жуков, Б. Почему у врачей обычно неразборчивый почерк? / Борис Жуков, Александр Сергеев // Вокруг света. – 2017. – № 10. – С. 86.
Электронные ресурсы (с текстами можно поработать в зале Регионального центра Президентской библиотеки на 3-м этаже.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Аверкиева, А. А. Влияет ли работа или учеба на изменение нашего почерка? Что об этом думают врачи, учителя и студенты? / А. А. Аверкиева, Б. Г. Мещеряков // Психология третьего тысячелетия : сборник материалов III Международной научно-практической конференции, Дубна, 25–26 апреля 2016 года / под общей редакцией О. А. Гончарова. – Дубна, 2016. – С. 16-22. – URL: https://elibrary.ru/item.asp?id=43897607 (дата обращения: 02.03.2023). – Режим доступа: научная электронная библиотека eLIBRARY.RU, после регистрации.
Аверкиева, А. А. Почерк учителей и врачей - проверяем стереотипы. Мнение врачей, учителей и студентов о разборчивости собственного почерка / А. А. Аверкиева // Психология третьего тысячелетия : IV Международная научно-практическая конференция памяти профессора Л. Ф. Обуховой : сборник материалов, Дубна, 17–18 апреля 2017 года / Государственный университет «Дубна». – Дубна, 2017. – С. 18-22. – URL: https://elibrary.ru/item.asp?id=43835921 (дата обращения: 02.03.2023). – Режим доступа: научная электронная библиотека eLIBRARY.RU, после регистрации.
Дубовик, Е. С. Особенности почерковедческой экспертизы почерков врачей / Е. С. Дубовик, Г. В. Парамонова // Судебная экспертиза: прошлое, настоящее и взгляд в будущее : материалы международной научно-практической конференции, Санкт-Петербург, 14–15 мая 2020 года. – Санкт-Петербург, 2020. – С. 116-119. – URL: https://elibrary.ru/item.asp?id=44810435 (дата обращения: 02.03.2023). – Режим доступа: научная электронная библиотека eLIBRARY.RU, после регистрации.
Неточности и ошибки в рецептах врача и пути их сокращения / Т. Л. Петрище, В. С. Глушанко, В. В. Кугач, П. С. Малахова // Вестник Витебского государственного медицинского университета. – 2016. – Т. 15, № 4. – С. 99-107. – URL: https://elibrary.ru/item.asp?id=26733438 (дата обращения: 02.03.2023). – Режим доступа: научная электронная библиотека eLIBRARY.RU, после регистрации.
Строев, Ю. И. Зеркало профессиональной врачебной культуры (посвящается 160-летию со дня рождения Сергея Сергеевича Боткина) / Ю. И. Строев, Л. П. Чурилов, А. В. Балахонов // Российские биомедицинские исследования. – 2020. – Т. 5, № 1. – С. 30-50. – URL: https://elibrary.ru/item.asp?id=43783541 (дата обращения: 02.03.2023). – Режим доступа: научная электронная библиотека eLIBRARY.RU, после регистрации.
Федоренко, А. Доктор, что вы написали? / Алексей Федоренко // Российские аптеки. – 2012. – № 8 (213). – С 64–66. – URL: https://biblioclub.ru/index.php?page=book&amp;id=139833 (дата обращения: 02.03.2023). – Режим доступа: электронно-библиотечная система «Университетская библиотека онлайн», по подписке. 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Петров, П. И. Факторы, влияющие на разборчивость почерка, глазами врачей / П. И. Петров, С. В. Аверьянов, Л. А. Рябых // Инновационная стоматология : сборник научных трудов, посвященный 75-летию победы в Великой отечественной войне. – Уфа, 2020. – С. 223-229.
Страховщики перестанут наказывать врачей за плохой почерк // Здравоохранение. – 2017. – № 12. – С. 8-9.
Ступаков, И. Н. Электронная история болезни - решение проблем поликлинических врачей / И. Н. Ступаков, А. Е. Кайли, А. С. Лужецкий // Бюллетень НЦССХ им. А.Н. Бакулева РАМН. Сердечно-сосудистые заболевания. – 2011. – Т. 12, № S6. – С. 276.
Шапорова, Ю. А. Теоретическое обоснование понятия "врачебный почерк" / Ю. А. Шапорова, О. Е. Чернова // Филология и культурология: современные проблемы и перспективы развития : материалы XXVII Международной научно-практической конференции, Махачкала, 16 ноября 2017 года. – Махачкала, 2017. – С. 72-73.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2026-11-04T01:41:33+03:00</dcterms:created>
  <dcterms:modified xsi:type="dcterms:W3CDTF">2026-11-04T01:41:33+03:00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