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№15262 (Мурманская область) от 13 октября 2024
</w:t>
      </w:r>
    </w:p>
    <w:p>
      <w:pPr/>
      <w:r>
        <w:rPr/>
        <w:t xml:space="preserve">Здравствуйте! Помогите составить библиогр. описание на электронные ресурсы:          1)Тагирова, Л. Развитие творческих способностей детей с ОВЗ в условиях реаб. центра       2) Хаидов, С.К. Социокультурные основы реаб-ции инвалидов: учеб. пособие (на ЭБС Руконт),          3) Шелковникова, С.Л. Развитие творческого потенциала детей с ОВЗ как педагогическая проблема.// Молодой учёный. - 2016.-№23. - с.539-540.              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них:
Шелковникова, С. Л. Развитие творческого потенциала детей с ограниченными возможностями здоровья как педагогическая проблема / С. Л. Шелковникова // Молодой ученый. – 2016. – № 23 (127). – С. 539-540. – URL: https://moluch.ru/archive/127/35103/ (дата обращения: 15.10.2024).  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2026-11-01T18:33:43+03:00</dcterms:created>
  <dcterms:modified xsi:type="dcterms:W3CDTF">2026-11-01T18:33:43+03:00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