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№15877 (Мурманск) от 20 августа 2025
</w:t>
      </w:r>
    </w:p>
    <w:p>
      <w:pPr/>
      <w:r>
        <w:rPr/>
        <w:t xml:space="preserve">Составьте, пожалуйста, описание по ГОСТ https://cyberleninka.ru/article/n/professionalnoe-samosoznanie-lichnosti-uchitelya-kak-uslovie-razvitiya-professionalnoy-napravlennosti
Здравствуйте. Предлагаем библиографическое описание по ГОСТ Р 7.0.100-2018 «Библиографическая запись. Библиографическое описание»:
Бурзалова, Т. В. Профессиональное самосознание личности учителя как условие развития профессиональной направленности / Т. В. Бурзалова // Вестник БГУ. – 2010. – № 15. – С. 19-23. – URL: https://cyberleninka.ru/article/n/professionalnoe-samosoznanie-lichnosti-uchitelya-kak-uslovie-razvitiya-professionalnoy-napravlennosti (дата обращения: 20.08.2025).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2026-10-31T10:20:51+03:00</dcterms:created>
  <dcterms:modified xsi:type="dcterms:W3CDTF">2026-10-31T10:20:51+03:00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