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№3031 (Мурманск) от 17 октября 2011
</w:t>
      </w:r>
    </w:p>
    <w:p>
      <w:pPr/>
      <w:r>
        <w:rPr/>
        <w:t xml:space="preserve">Добрый день!
&lt;BR&gt;Подберите, пожалуйста, литературу по теме: "Вина как условие гражданско-правовой ответственности".
&lt;BR&gt;Спасибо.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67.404.0-32; Г75 Гражданский кодекс Российской Федерации : [части первая, вторая, третья и четвертая : офиц. текст : по сост. на 15 февр. 2011 г.]. – М. : Омега-Л, 2011. - 478 с. (1704251 - ЧЗ)
Статьи
Гальперин, М. Л. Вина как условие ответственности в гражданском судопроизводстве / М. Л. Гальперин // Закон. - 2008. - N 9. - С. 56-64.
Мартиросян, А. Г. Соотношение вины и риска в гражданском праве / А. Г. Мартиросян // Вестник Высшего Арбитражного Суда Российской Федерации. - 2010. - N 7. - С. 42-53.
Романец, Ю. В. Вина как основание духовной и юридической ответственности / Ю. В. Романец // Российская юстиция. - 2011. - N 4. - С. 61-67.
Электронные ресурсы (с текстами документов можно поработать в Залах каталогов и электронных ресурсов на 3-м этаже библиотеки)
Богданов, Д. Е. Вина как условие гражданско-правовой ответственности (анализ теории и судебной практики) [Электронный ресурс] / Д. Е. Богданов // Российский судья. – Электрон. дан. - 2008. - N 4. - Режим доступа: СПС «КонсультантПлюс».
Груздев, В. В. О проблеме гражданско-правовой вины [Электронный ресурс] // Законы России: опыт, анализ, практика. – Электрон. дан. - 2010. - N 10. – Режим доступа: СПС «КонсультантПлюс».
Идрисов, Х. В. Вина как условие ответственности в российском гражданском праве [Электронный ресурс] : дис. ... канд. юрид. наук : 12.00.03 / Идрисов Хусейн Вахаевич ; [место защиты: Моск. ун-т МВД РФ]. – Электрон. дан. – М., 2010. – Режим доступа: http://diss.rsl.ru, регламентир. (18.10.2011).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