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№3036 (Мурманск) от 17 октября 2011
</w:t>
      </w:r>
    </w:p>
    <w:p>
      <w:pPr/>
      <w:r>
        <w:rPr/>
        <w:t xml:space="preserve">Прионы. Общая характеристика. Биологическая роль.
Здравствуйте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52.64я73; П47 П47 Поздеев, О. К. Медицинская микробиология : учеб. пособие для вузов / О. К. Поздеев ; под ред. В. И. Покровского. - Изд. 4-е, стер. – М. : ГЭОТАР-Медиа, 2008. - 765 с. (1667103 - МЕД 1677221 – МЕД)
28.072я73; Б63 Биохимия : учебник [для студентов мед. вузов / Авдеева Л. В. и др.] ; под ред. Е. С. Северина. - 5-е изд. – М. : ГЭОТАР-Медиа, 2009. - 759 с.  (1677238 - МЕД)
Статьи
Завалишин, И. А. Прионные болезни человека / И. А. Завалишин, А. В. Переседова // Российский медицинский журнал. - 2002. - N 4. - С. 3-9.
Крындушкин, Д. С. Дрожжи как модель для изучения молекулярных основ возникновения прионов и амилоидов / Д. С. Крындушкин [и др.] // Российский физиологический журнал им. И. М. Сеченова. - 2004. - Т. 90, N 5. - С. 645-657.
Макаров, В. В. Ветеринарно-эпидемиологические аспекты прионных инфекций / В. В. Макаров // Вестник Российской Академии медицинских наук. - 2003. - N 1. - С. 35-40.
Медуницын, Н. В. Прионные болезни и проблемы безопасности медицинских биологических препаратов / Н. В. Медуницын // Эпидемиология и инфекционные болезни. - 2005. - N 4. - С. 4-6.
Муронец, В. И. Нобелевская премия получена - загадки остались: история открытия инфекционных прионов / В. И. Муронец, А. П. Плетень // Природа. - 2005. - N 4. - С. 43-47.
Прионные болезни: современный взгляд на проблему / Е. А. Коган [и др.] // Архив патологии. - 2002. - N 6. - С. 3-9.
Ройхель, В. М. Медленные болезни человека и животных, вызванные прионами / В. М. Ройхель // Природа. - 2002. - N 2. - С. 14-20.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