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№3188 (Мурманск) от 23 ноября 2011
</w:t>
      </w:r>
    </w:p>
    <w:p>
      <w:pPr/>
      <w:r>
        <w:rPr/>
        <w:t xml:space="preserve">Сущность и содержание кредита.
&lt;BR&gt;Перспективы кредитования в России
Здравствуйте, Наталья. Предлагаем список статей по Вашей теме:
Бондаренко, В. С. Банковский кредит на модернизацию производства и перспективы его развития в России / В. С. Бондаренко // Финансы и кредит. - 2011. - N 35. - С. 59-64.
Войткевич, Н. И. Экономическая сущность и основные категории кредитного брокериджа = Economic essence and basic categories of credit brokerage / Н. И. Войткевич, В. О. Макаров // Вестник Самарского государственного экономического университета. - 2010. – N 7. - С. 15-20.
Кропивенко, В. В. Вексельное кредитование: экономическая сущность и особенности / В. В. Кропивенко // Финансы и кредит. - 2008. - N 18. - С. 22-27.
Лазарева, Е. Г. Инвестиционное банковское кредитование: пути развития / Е. Г. Лазарева // Банковское дело. - 2011. - N 6. - С. 20-22.
Левина, Л. И. Перспективы развития системы ипотечного кредитования / Л. И. Левина, А. А. Мазунов // Банковское дело. - 2011. - N 10. - С. 45-49.
Логинов, М. П. Социоипотека в России: сущность, структура, особенности развития / М. П. Логинов // Финансы и кредит. - 2011. - N 11. - С. 29-35.
Мамонов, М. Е. Перспективы кредитования банками реального сектора экономики / М. Е. Мамонов // Банковское дело. - 2010. - N 9. - С. 18-23.
Савинова, В. А. Методологические подходы к определению сущности ипотечного кредита / В. А. Савинова // Финансы и кредит. - 2008. - N 46. - С. 31-37.
Сарнаков, И. В Понятие и сущность потребительского кредита / И. В. Сарнаков ; науч. рук. Э. В. Аванесов // Закон и право. - 2009. - N 9. - С. 31-37.
Черняев, К. Экономическая сущность лизинга и его роль в современных экономических условиях / К. Черняев // Экономические науки. - 2009. - N 4. - С. 185-187.
С уважением, главный библиограф ЦСС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