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№3688 (Мурманск) от 26 апреля 2012
</w:t>
      </w:r>
    </w:p>
    <w:p>
      <w:pPr/>
      <w:r>
        <w:rPr/>
        <w:t xml:space="preserve">Экология в современной литературе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20.18; Б82 Борейко, В. Е. Философы дикой природы и природоохраны / В. Е. Борейко ; Киев. экол.-культур. центр. - Изд. 2-е, доп. – Киев : Киев. экол.-культур. центр, 2004. - 158 с.  (1643532 - МЕД)
83.3(7США); С79 Стеценко, Е. А. Экологическое сознание в современной американской литературе / Е. А. Стеценко ; Рос. акад. наук, Ин-т мировой лит. им. А. М. Горького. - М. : ИМЛИ, 2002. - 319 с.  (1621778 - ХР)
Статьи
Дымов, И. Зеленые, злые, опасные / И. Дымов // Книжное  обозрение. - 2006. - N 20 (май). - С. 5.
Запесоцкий, А. С. Дмитрий Лихачев и современная теория культуры / А. С. Запесоцкий, Е. А. Кайсаров, Ю. М. Шор // Социально-гуманитарные знания. - 2007. - N 1. - С. 290-306.
Лянь Кунь. "Комплекс Апокалипсиса" в современной русскоязычной экологической литературе / Лянь Кунь // Вопросы философии. - 2008. - N 9. - С. 172-176.
Оборин, Л. Экология, эстетика, этика / Л. Оборин // Знамя. - 2011. - N 8. - С. 217-221.
Петишева, В. А. Функции пейзажа в русской классике / В. А. Петишева // Русская словесность. - 2007. - N 5. - С. 15-22.
Рогова, Р. Экологизированное мировоззрение / Р. Рогова // Воспитание школьников. - 2005. - N 4. - С. 19-20.
Следующие издания или фрагменты из них можно также заказать через межбиблиотечный абонемент из фондов других библиотек страны:
Книжный дозор: новинки  // Экология и жизнь. - 2011. - N 9. - С. 42-43 ; N 12. - С. 48-49.
Петишева, В. А. Человек и природа в оценке Л. М. Леонова: (историко-философский контекст «Русского леса») / В. А. Петишева // Вестник Челябинского государственного университета. – 2007. – N 8. – С. 88-93.
Темаева, Х. Н. Судьбы цивилизации в романах Чингиза Айтматова // Х. Н. Темаева // Вестник Пятигорского государственного лингвистического университета. – 2009. – N 3, Ч. 2. – С. 229-231.
С уважением, главный библиограф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