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№4576 (Мурманская область) от 22 февраля 2013
</w:t>
      </w:r>
    </w:p>
    <w:p>
      <w:pPr/>
      <w:r>
        <w:rPr/>
        <w:t xml:space="preserve">Я пишу дипломную работу на тему спсобы преодоления эмотивной лакунарности при переводу худож. литературы с англ. на русс. яз. на примере перевода романа Д.Д.Сэлинджера "Над пропастью во ржи".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81.07; В58 Влахов, С. Непереводимое в переводе / Сергей Влахов, Сидер Флорин. – Москва : Междунар. отношения, 1980. – 340 с. (1074501 - ИНО) 
88.351.32; Н35 Национально-культурная специфика речевого поведения / [А. А. Леонтьев и др.] ; Акад. наук СССР, Ин-т языкознания. – Москва : Наука, 1977. - 352 с. – Из содерж.: К вопросу о характере русских и английских лакун / Жельвис В. И. – С. 136-146. (925196 - ХР)
Электронные ресурсы (с текстами документов можно поработать в залах каталогов и электронных ресурсов на 3-м этаже библиотеки) 
Бекасов, М. Д. Переводческий аспект лакунарности [Электронный ресурс] : на материале англ. и рус. яз. : автореф. дис. ... канд. филол. наук : 10.02.20 / Бекасов Михаил Дмитриевич ; [место защиты: Моск. гос. лингвист. ун-т]. – Электрон. дан. - Москва, 2012. - 18 с. – Режим доступа: http://sigla.rsl.ru, регламентир. (22.02.2012).
Дзида, Н. Н. Проблема лакунарности в переводе [Электронный ресурс] / Н. Н. Дзида // Вестник Тюменского государственного университета. – Электрон. дан. - 2010. - N 1. - С. 162-167. – Режим доступа: http://elibrary.ru, регламентир. (22.02.2013).
Каланджиева, Е. Г. Эмотивная лакунарность, сложности адекватного перевода культурно-маркированных эмотивных комплексов [Электронный ресурс] / Е. Г. Каланджиева // Известия Дагестанского государственного педагогического университета. Общественные и гуманитарные науки. - Электрон. дан. - 2009. - N 4. - С. 49-51. – Режим доступа: http://elibrary.ru, регламентир. (22.02.2012).
Петренко, Д. И. Язык оригинала - язык перевода в условиях эпистемологической ситуации, идеологизации, деидеологизации общества [Электронный ресурс] : на материале романа Дж. Д. Сэлинджера "The Catcher in the Rye" и его пер. на рус. яз. : дис. ... канд. филол. наук : 10.02.19, 10.02.01 / Петренко Денис Иванович. – Электрон. дан. - Ставрополь, 2007. - 250 с. – Режим доступа: http://sigla.rsl.ru, регламентир. (22.02.2012).
Петросян, Ж. В. Проблема адъективной лакунарности [Электронный ресурс] : дисканд. филол. наук : 10.02.19 / Петросян Жанна Вараздатовна ; [место защиты: Воронеж. гос. ун-т]. – Электрон. дан. - Воронеж, 2011. - 184 с. – Режим доступа: http://sigla.rsl.ru, регламентир. (22.02.2012).
Стрельницкая, Е. В. Эмотивность и перевод : особенности языковой передачи эмоций при худож. пер. с англ. яз. на рус. [Электронный ресурс] : дис. ... канд. филол. наук : 10.02.04, 10.02.20 / Стрельницкая Екатерина Владимировна ; [место защиты: Моск. гос. ун-т им. М. В. Ломоносова. Филол. фак.]. - Москва, 2009. - 264 с. – Режим доступа: http://sigla.rsl.ru, регламентир. (22.02.2012).
Томашова, И. В. Эмотивная лакунарность художественной прозы [Электронный ресурс] : на материале пер. испанояз. писателей : дис. ... канд. филол. наук : 10.02.20 / Томашова Ирина Владимировна. – Электрон. дан. - Волгоград, 1995. - 216 с. - Режим доступа: http://sigla.rsl.ru, регламентир. (22.02.2012).
Филимонова, О. А. Бытийная и характеризующая пропозиции в смысловой организации художественного текста [Электронный ресурс] : на материале пер. и оригинала романа Дж. Д. Сэлинджера "Над пропастью во ржи" : дисканд. филол. наук : 10.02.01 / Филимонова Ольга Анатольевна. – Электрон. дан. - Томск, 2007. - 168 с. – Режим доступа: http://sigla.rsl.ru, регламентир. (22.02.2012).
См. также ответы на вопросы N  6218 и N  13204 в архиве выполненных запросов виртуальной справочной службы «Спроси библиографа».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2026-11-06T21:15:24+03:00</dcterms:created>
  <dcterms:modified xsi:type="dcterms:W3CDTF">2026-11-06T21:15:24+03:00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