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№4607 (Мурманск) от 2 марта 2013
</w:t>
      </w:r>
    </w:p>
    <w:p>
      <w:pPr/>
      <w:r>
        <w:rPr/>
        <w:t xml:space="preserve">Порядок проведения безналичного расчёта
См. ответ на запрос № 4606 в архиве выполненных вопросов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2026-11-06T20:25:47+03:00</dcterms:created>
  <dcterms:modified xsi:type="dcterms:W3CDTF">2026-11-06T20:25:47+03:00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