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№4678 (Мурманская область) от 23 марта 2013
</w:t>
      </w:r>
    </w:p>
    <w:p>
      <w:pPr/>
      <w:r>
        <w:rPr/>
        <w:t xml:space="preserve">Здравствуйте! Помогите найти материал по теме: Национальный вопрос в программах политических партий современной России (период 2012 год по сей день). спасибо!
Здравствуйте, Вероника. 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66.2(2Рос)я73; И85 Исаев, Б. А. Современная российская политика : для бакалавров / Б. А. Исаев, Н. А. Баранов. - Санкт-Петербург [и др.] : Питер, 2012. - 443 с. - (Учебное пособие) (Стандарт третьего поколения). (1714025 - ЧЗ 1714026 - АБ)
66.69(4)я73; П68 "Праворадикальные и правоэкстремистские партии и движения в современной Европе" : учеб. для вузов / [И. Н. Барыгин и др. ; отв. ред. Барыгин И. Н. ; науч. ред. Еремина Н. В., Протасенко С. В.]. - Изд. 2-е, доп. - Санкт-Петербург : Петрополис, 2012. - 689 с. : ил., табл. (1713414 - ХР)
Статьи
Быков, Д. Даешь нацдем! / Д. Быков // Профиль. - 2012. - № 11. - С. 104.Крылов, К. "Среди националистов тоже есть дураки" / К. Крылов ; беседовал А. Архангельский // Огонек. - 2012. - № 6. - С. 18-20.
Кувалдин, С. Тихие игры / С. Кувалдин ; в подгот. материала принимал участие Рубен Гарсия // Эксперт. - 2011. - № 36. - С. 78-81.
Предвыборная программа партии «Единая Россия» на выборах Президента России // Российская газета. – 2012. – 8 февр.
Электронные ресурсы (с текстами документов можно поработать в Залах каталогов и электронных ресурсов на 3-м этаже библиотеки)
Гришин, С. Г. Национальный вопрос в программах националистических партий современной России [Электронный ресурс] / Гришин С. Г., Козлова Е. В. // Известия Пензенского государственного педагогического университета им. В. Г. Белинского. - Электрон. дан. - 2007. - № 7. - С. 9-12. – Режим доступа: http://elibrary.ru/, регламентир. (23.03.2013).
Кудрина, А. М. Национальный вопрос в программах и тактике российских политических партий и общественных движений, 1992-1996 гг. [Электронный ресурс] : дис.канд. ист. наук : 07.00.00, 07.00.02 / Кудрина Алла Михайловна. - Электрон. дан. - Москва, 2002. - 299 с. – Режим доступа: http://sigla.rsl.ru, регламентир. (23.03.2013).
Митрофанов, А. М. Российские партии и национальная безопасность [Электронный ресурс] / Митрофанов А. М. // Точки над Ё. - Электрон. дан. - 2012. - № 1. - С. 96-100. – Режим доступа: http://elibrary.ru/, регламентир. (23.03.2013).
Следующие издания или фрагменты из них можно также заказать через межбиблиотечный абонемент из фондов других библиотек страны:
Баранник, И. Третья сила Михаила Прохорова / И. Баранник // Дальневосточный капитал. — 2012. — № 11. — С. 74-75. (МАРС).
ЛДПР укажет дорогу : [программа ЛДПР] / ЛДПР ; [общ. ред.: В. В. Жириновский]. - Москва : изд. ЛДПР, 2011. - 96 с. (РНБ, РГБ).
Национальная политика // Справедливая Россия : программа партии. – [М.], 2009. – С. 75-77.
Эффективная идеологическая работа – важнейшее условие достижения программных задач партии : материалы VI (июл. 2010 г.) совмест. Пленума ЦК и ЦКРК КПРФ / Коммунист. партия Рос. Федерации. - Москва ; Псков : [б. и.], 2010. - 223 с. (РНБ).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2026-11-06T17:09:45+03:00</dcterms:created>
  <dcterms:modified xsi:type="dcterms:W3CDTF">2026-11-06T17:09:45+03:00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