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№5472 (Мурманск) от 8 декабря 2013
</w:t>
      </w:r>
    </w:p>
    <w:p>
      <w:pPr/>
      <w:r>
        <w:rPr/>
        <w:t xml:space="preserve">Добрый день! Есь у вас готовый список литературы по теме "Формирование компетенций у школьников"? Спасибо
Здравствуйте, Ираида. Предлагаем ознакомиться со списками литературы в Базе данных «Архив выполненных справок» Электронного каталога:
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 – Электрон. дан. - Мурманск : МГОУНБ, 2009. - 4 с. – Режим доступа: http://opac.mgounb.ru/opacg/archive/competent_podchod.doc, свобод. (09.12.2013). 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– Электрон. дан. - Мурманск : МГОУНБ, 2009. - 6 с. – Режим доступа: http://opac.mgounb.ru/opacg/archive/competentnost_uchenica.doc, свобод. (08.12.2013). 
См. также ответы на запросы №№ 872, 2618, 3168, 3736 в архиве выполненных справок «Виртуального библиографа» и №№ 671, 1634, 1967, 3276, 5714, 6976, 9130, 10374, 10842, 16198 виртуальной справочной службы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2026-11-05T20:28:19+03:00</dcterms:created>
  <dcterms:modified xsi:type="dcterms:W3CDTF">2026-11-05T20:28:19+03:00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