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№6343 (Мурманск) от 22 сентября 2014
</w:t>
      </w:r>
    </w:p>
    <w:p>
      <w:pPr/>
      <w:r>
        <w:rPr/>
        <w:t xml:space="preserve">Тема: «Правление Эхнатона и значение его преобразований».
Здравствуйте, Эдуард. Предлагаем Вам библиографический список:
Книги
63.3(0)3 ; В26 Вейгалл, А. Эхнатон. Фараон-вероотступник / А. Вейгалл. – Москва : Центрполиграф, 2010. – 190 с. (1695564 – АБ ; 1700680 – АБ)
63.3(0)3я9 ; Д73 Древний Египет. - Лондон [и др.] : Дорлинг Киндерсли, 1996. – 63 с. (Ф-1551332 – ХР)
63.3(0)3 ; П27 Перепелкин, Ю. Я. История Древнего Египта / Ю. Я. Перепелкин. – Санкт-Петербург : Лет. сад : Журн. "Нева", 2001. - 607 с. (1599718 – ХР ; 1599719 – ЧЗ ; 1599720 – АБ)
9(3) ; П27 Перепелкин, Ю. Я. Переворот Амен-хотепа IV / Ю. Я. Перепелкин. - Москва : Наука, 1984. Ч. 2. - 287 с. (1196257 – ХР) 
65.03(0) ; Э40 Экономика Древнего Востока // Экономическая история мира : в 6 т. - Москва : КноРус, 2008. Т. 1. - С. 27-135. (1679341 – ХР) 
Статьи
Алфеева, В. А. Факты, события, люди. Самый странный из фараонов / В. А. Алфеева // Вопросы истории. – 1968. -  № 9. - C. 204–208.
Голяндин, А. Эхнатон. Между светом и тьмой / А. Голяндин // Знание-сила. - 2006. - № 4. - С. 56-64.
Кандауров, О. Евангелие Эхнатона / О. Кандауров // Наука и религия. - 2012. - № 2. - С. 46-47.
Перепелкин, Ю. Я. Жрец царя во главе государства / Ю. Я. Перепелкин // Вестник древней истории. – 1989. - № 3. - С. 4-28.  
См. также ответ на запрос № 4356 в архиве выполненных справок «Виртуального библиографа».
Ждем Вас в нашей библиотеке.               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2026-11-05T14:54:01+03:00</dcterms:created>
  <dcterms:modified xsi:type="dcterms:W3CDTF">2026-11-05T14:54:01+03:00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