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№8125 (Мурманск) от 3 апреля 2016
</w:t>
      </w:r>
    </w:p>
    <w:p>
      <w:pPr/>
      <w:r>
        <w:rPr/>
        <w:t xml:space="preserve">Добрый день! Доклад на тему "Эталон частоты на основе цезия" , дисциплина "Стандартизация и метрология" в техническом университете. Подойдет любой материал, хоть это будет статья и т.д.
Добрый день, Марина.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залах каталогов и электронных ресурсов на 3-м этаже библиотеки)
Здериглазова, А. В. Обработка данных, полученных по результатам работы комплекса формирования шкал времени вторичного эталона времени и частоты [Электронный ресурс] / Здериглазова А. В., Акулов В. М., Курышева Л. Н. // Вестник Иркутского государственного технического университета. – Электрон. дан. - 2016. - № 2. - С. 23-29. – Режим доступа: http://elibrary.ru, регламентир. (05.04.2016).
Корнеев, В. А. Наносекундная синхронизация шкал времени по метеорным радиоотражениям и её приложение к защите информации [Электронный ресурс] / Корнеев В. А., Сидоров В. В., Эпиктетов Л. А. // Ученые записки Казанского университета. Серия: Физико-математические науки. – Электрон. дан. - 2007. - Т. 149, № 3. - С. 83-96. – Режим доступа: http://elibrary.ru, регламентир. (05.04.2016).
Пушкин, С. Б. Государственный первичный эталон единицы времени - секунды, единицы частоты - герца и национальной шкалы времени ГЭТ 1-98 [Электронный ресурс] / Пушкин С. Б. // Мир измерений. – Электрон. дан. - 2010. - № 11. - С. 34-44. – Режим доступа: http://elibrary.ru, регламентир. (05.04.2016).
Цезиевые реперы частоты фонтанного типа МЦР-Ф1 и МЦР-Ф2 / Домнин Ю. С. [и др.] // Мир измерений. – Электрон. дан. - 2012. - № 4. - С. 30-34. – Режим доступа: http://elibrary.ru, регламентир. (05.04.2016).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2026-11-05T06:47:50+03:00</dcterms:created>
  <dcterms:modified xsi:type="dcterms:W3CDTF">2026-11-05T06:47:50+03:00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