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№8552 (Мурманская область) от 27 сентября 2016
</w:t>
      </w:r>
    </w:p>
    <w:p>
      <w:pPr/>
      <w:r>
        <w:rPr/>
        <w:t xml:space="preserve">необходимы книги или статьи по теме: " Почему подростки не хотят чиатоть?"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78.07 ; О-76 Остановиться. Оглянуться... : сб. информ. – аналит. материалов по проблемам чтения. - Москва : Межрегион. центр библ. сотрудничества, 2009. - 100 с. (Ф-1694728 – НМО ; Ф-1699842 – НМО)
Статьи
Колосова, Е. А. Перемены в чтении российских детей и подростков : результаты всерос. комплек. исслед. / Е. А. Колосова, В. П. Чудинова, А. Ю. Губанова  // Школьная библиотека. - 2014. - № 5. - С. 15-19.
Кутейникова, Н. Е. Чтение литературы о Великой Отечественной войне современными школьниками: размышления в процессе изучения прозы на уроках и вне их / Кутейникова Н. Е. // Литература в школе. - 2014. - № 5. - С. 21-27.
Мелентьева, Ю. Что показал опрос: современные тенденции в чтении молодых россиян / Ю. Мелентьева // Библиополе. - 2007. - № 12. - С. 13-15.
Порядина, М. Е. Макулатура для девочек / М. Е. Порядина // Библиография. - 2014. - № 2. - С. 77-82.
Руднев, В. Н. Осмысленное чтение и читательский инфантилизм: абстрактное мышление как средство познания внешнего мира / В. Н. Руднев // Библиотечное дело. - 2015. - № 22. - С. 20-22.
Русецкая, М. Н. Отчего люди не читают? / М. Н. Русецкая // Дефектология. - 2008. - № 1. - С. 92-94.
Степанова, Л. Ортодоксальное и парадоксальное в чтении современных детей: понимание и принятие как проблемы современной деятельности в Пространстве библиотеки / Л. С. // Библиотечное дело. - 2008. - № 1. - С. 5-8.
Степанова, М. И вкуса у слов больше нет?: в год литературы о праве быть читателем / М. Степанова // Школьный психолог - Первое сентября. - 2015. - № 5/6. - С. 8-12.
Черняк, М. А. Судьба читателя в эпоху "бублимира" / М. А. Черняк // Библиотечное дело. - 2010. - № 22. - С. 2-7.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2026-11-05T05:05:37+03:00</dcterms:created>
  <dcterms:modified xsi:type="dcterms:W3CDTF">2026-11-05T05:05:37+03:00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