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№8994 (Мурманская область) от 19 февраля 2017
</w:t>
      </w:r>
    </w:p>
    <w:p>
      <w:pPr/>
      <w:r>
        <w:rPr/>
        <w:t xml:space="preserve">Добрый день!
Помогите пожалуйста подобрать список литературы для написания диплома. Тема: Принципы разработки композиционно-графической модели газеты
Заранее спасибо!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Волкова, В. В. Специфика медиадизайна / В. В. Волкова // Вестник Московского университета. Серия 10, Журналистика. - 2014. - № 4. - С. 5-21.
Скоробогатько, В. Деловой, солидный стиль - это модно / В. Скоробогатько // Журналист. - 2008. - № 8. - С. 76-78.
Скоробогатько, В. Помоги миру - создай модель / В. Скоробогатько // Журналист. - 2011. - № 9. - С. 77-79.
Сурнин, Д. Редактор и дизайнер: руководство пользователя : как добиться гармонии, синергии и единения душ / Д. Сурнин // Журналист. - 2014. - № 11. - С. 38-40.
Третьяк, Е. Информационная графика и информационный дизайн / Е. Третьяк // Журналист. - 2013. - № 7. - С. 31-33.
Третьяк, Е. Художественно-техническое качество веб-шрифтов / Е. Третьяк // Журналист. - 2013. - № 10. - С. 34-36.
Тулупов, В. В новохоперской газете "Вести" решили так: мы играем не по правилам, а по настроению / В. Тулупов // Журналист. - 2008. - № 2. - С. 67-69.
Электронный ресурс
Никифорова, Ж. А. К проблеме гипертекстуальности газетного текста [Электронный ресурс] / Никифорова Ж. А. // Гипертекст как объект лингвистического исследования : материалы Всерос. науч.-практ. конф. с междунар. участием, Самара, 15-16 марта 2010 г. / отв. ред. : С. А. Стройков. – Самара, 2010. - С. 87-89. – Режим доступа: http://elibrary.ru, регламентир. (21.02.2017).
Носаев, Д. А. Влияние элементов графической модели периодического издания на его успешность [Электронный ресурс] / Носаев Д. А. // Вестник Адыгейского государственного университета. Серия 2, Филология и искусствоведение. - 2013. - № 3. - С. 207-212. – Режим доступа: http://elibrary.ru, регламентир. (21.02.2017).
Носаев, Д. А. Современные тенденции развития графической модели газеты [Электронный ресурс] / Носаев Д. А. // Вестник Адыгейского государственного университета. Серия 2, Филология и искусствоведение. - 2012. - № 3. - С. 54-58. – Режим доступа: http://elibrary.ru, регламентир. (21.02.2017).
Полежаева, Л. А.Приёмы использования цвета в дизайне местных газет [Электронный ресурс] / Полежаева Л. А. // Актуальные проблемы изучения языка, литературы и журналистики: история и современность : материалы X Междунар. науч.-практ. конф. Абакан, 24-26 нояб. 2015 г. / науч. ред. И. В. Пекарская; отв. ред. В. П. Антонов. – Абакан, 2015. - С. 146-148. – Режим доступа: http://elibrary.ru, регламентир. (21.02.2017).
Тышецкая, А. Ю. Медиаконвергенция и практика газетного редизайна [Электронный ресурс] / Тышецкая А. Ю. // Вестник Воронежского государственного университета. Серия: Филология. Журналистика. - 2011. - № 2. - С. 226-232. – Режим доступа: http://elibrary.ru, регламентир. (21.02.2017).
Статьи можно также заказать из фондов других библиотек страны:
Носаев, Д. А. Особенности внедрения композиционно-графических моделей периодических изданий / Носаев Д. А. // Научный вестник Кубанского государственного университета. Медиакоммуникация. - 2015. - № 1. - С. 117-119.
Носаев, Д. А. Особенности дизайна районных газет / Носаев Д. А. // Вестник Пятигорского государственного лингвистического университета. - 2013. - № 4. - С. 165-167.
См. также ответы №№ 1593, 11740, 12748, 16161 в архиве выполненных запросов ВСС КОРУНБ.
С уважением, главный библиограф центральной справочной службы Данилова М. М.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2026-11-05T03:08:36+03:00</dcterms:created>
  <dcterms:modified xsi:type="dcterms:W3CDTF">2026-11-05T03:08:36+03:00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