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№9132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https://docviewer.yandex.ru/?url=http%3A%2F%2Fwww.encharter.org%2Ffileadmin%2FDocumentsMedia%2FThematic%2FCoal_Study_2010_ru.pdf&amp;name=Coal_Study_2010_ru.pdf&amp;lang=ru&amp;c=58ae1bd6cacd&amp;page=28
Здравствуйте, Ярослав Андреевич. Предлагаем Вам библиографическое описание документа (печатный вариант):
Цена энергии: формирование международных цен на уголь [Текст]. – Брюссель : [б. и.], 2010. – 50 с.
Предлагаем Вам библиографическое описание документа (электронный вариант):
Цена энергии: формирование международных цен на уголь [Электронный ресурс]. – Электрон. дан. – Брюссель : [б. и.], 2010. – 50 с. - Режим доступа: http://www.encharter.org/fileadmin/DocumentsMedia/Thematic/Coal_Study_2010_ru.pdf, свободный (23.03.2017).
Предлагаем библиографическое описание конкретно указанной Вами страницы (для ссылки):
Цена энергии: формирование международных цен на уголь. – Брюссель, 2010. – С. 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