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№9134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http://helion-ltd.ru/the-industrial-policy/
Здравствуйте, Ярослав Андреевич. Предлагаем Вам библиографическое описание статьи (печатный вариант):
Христенко, В. Место промышленной политики в системе социально-экономического развития [Текст] : докл. на Правительств. часе в Госдуме 14 февр. 2007 г. / В. Христенко // Север пром. – 2007. - № 3. – С. 3-8.
Предлагаем Вам библиографическое описание статьи (электронный вариант):
Христенко, В. Производство российских судов решает задачи кораблестроения и судостроения [Электронный ресурс] : докл. на Правительств. часе в Госдуме 14 февр. 2007 г. / В. Христенко // Север пром. – Электрон. дан. – 2007. - № 3. – Режим доступа: http://helion-ltd.ru/the-industrial-policy/,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