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№9822 (Мурманская область) от 11 декабря 2017
</w:t>
      </w:r>
    </w:p>
    <w:p>
      <w:pPr/>
      <w:r>
        <w:rPr/>
        <w:t xml:space="preserve">Подскажите,на каком основании для организации открытого доступа к книжным фондам для размещения 1000 книг необходимо 4,5-5 м 2
Здравствуйте, Светлана. Предлагаем Вам ознакомиться со следующим документом:
78.34(2)75; Б17 Базовые нормы организации сети и ресурсного обеспечения общедоступных библиотек муниципальных образований : утв. Конф. Рос. библ. ассоц. на XII Ежегод. сессии 16 мая 2007 г. / Рос. библ. ассоц. - Санкт- Петербург : Изд-во РНБ, 2007. - 30 с. : табл. (1655165 – НМО) ; То же [Электронный ресурс]. - Режим доступа: http://www.rba.ru/content/about/doc/baz.pdf/, свободный (11.12.2017).
С уважением, главный библиотекарь научно-методического отдела И. А. Шуличенко.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2026-11-04T22:34:58+03:00</dcterms:created>
  <dcterms:modified xsi:type="dcterms:W3CDTF">2026-11-04T22:34:58+03:00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